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14048E68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9532B7">
        <w:rPr>
          <w:rFonts w:ascii="Tahoma" w:hAnsi="Tahoma" w:cs="Tahoma"/>
        </w:rPr>
        <w:t>7</w:t>
      </w:r>
      <w:r w:rsidR="00696BA3">
        <w:rPr>
          <w:rFonts w:ascii="Tahoma" w:hAnsi="Tahoma" w:cs="Tahoma"/>
        </w:rPr>
        <w:t xml:space="preserve"> de </w:t>
      </w:r>
      <w:r w:rsidR="009532B7">
        <w:rPr>
          <w:rFonts w:ascii="Tahoma" w:hAnsi="Tahoma" w:cs="Tahoma"/>
        </w:rPr>
        <w:t>OCTUBRE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Pr="00E0137D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46F7D3EB" w14:textId="0DD7D9DE" w:rsid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p w14:paraId="25CDC4E1" w14:textId="2C351A07" w:rsidR="009532B7" w:rsidRPr="009532B7" w:rsidRDefault="009532B7" w:rsidP="009532B7">
      <w:pPr>
        <w:shd w:val="clear" w:color="auto" w:fill="FFFFFF"/>
        <w:spacing w:line="360" w:lineRule="auto"/>
        <w:jc w:val="both"/>
        <w:rPr>
          <w:rFonts w:ascii="Tahoma" w:hAnsi="Tahoma" w:cs="Tahoma"/>
          <w:lang w:val="es-AR" w:eastAsia="es-AR"/>
        </w:rPr>
      </w:pPr>
      <w:r w:rsidRPr="009532B7">
        <w:rPr>
          <w:rFonts w:ascii="Tahoma" w:hAnsi="Tahoma" w:cs="Tahoma"/>
          <w:b/>
          <w:bCs/>
          <w:u w:val="single"/>
          <w:lang w:eastAsia="es-AR"/>
        </w:rPr>
        <w:t>SOLICITA AL DEPARTAMENTO EJECUTIVO INFORME ESTADO DE LA VENTA DE DOS INMUEBLES CON AFECTACION DE RECURSOS A LA OBRA “MEJORAS EN CALLES DEL BARRIO FÁTIMA ETAPA I”.  </w:t>
      </w:r>
    </w:p>
    <w:p w14:paraId="6206A7E7" w14:textId="32002438" w:rsidR="009532B7" w:rsidRPr="009532B7" w:rsidRDefault="009532B7" w:rsidP="009532B7">
      <w:pPr>
        <w:shd w:val="clear" w:color="auto" w:fill="FFFFFF"/>
        <w:spacing w:line="360" w:lineRule="auto"/>
        <w:jc w:val="both"/>
        <w:rPr>
          <w:rFonts w:ascii="Tahoma" w:hAnsi="Tahoma" w:cs="Tahoma"/>
          <w:b/>
          <w:bCs/>
          <w:u w:val="single"/>
          <w:lang w:eastAsia="es-AR"/>
        </w:rPr>
      </w:pPr>
    </w:p>
    <w:p w14:paraId="51C0E5F8" w14:textId="77777777" w:rsidR="009532B7" w:rsidRPr="009532B7" w:rsidRDefault="009532B7" w:rsidP="009532B7">
      <w:pPr>
        <w:shd w:val="clear" w:color="auto" w:fill="FFFFFF"/>
        <w:spacing w:line="360" w:lineRule="auto"/>
        <w:jc w:val="both"/>
        <w:rPr>
          <w:rFonts w:ascii="Tahoma" w:hAnsi="Tahoma" w:cs="Tahoma"/>
          <w:lang w:val="es-AR" w:eastAsia="es-AR"/>
        </w:rPr>
      </w:pPr>
    </w:p>
    <w:p w14:paraId="3B47D067" w14:textId="2F006DAA" w:rsidR="009532B7" w:rsidRPr="009532B7" w:rsidRDefault="009532B7" w:rsidP="009532B7">
      <w:pPr>
        <w:shd w:val="clear" w:color="auto" w:fill="FFFFFF"/>
        <w:spacing w:line="360" w:lineRule="auto"/>
        <w:jc w:val="both"/>
        <w:rPr>
          <w:rFonts w:ascii="Tahoma" w:hAnsi="Tahoma" w:cs="Tahoma"/>
          <w:b/>
          <w:bCs/>
          <w:lang w:eastAsia="es-AR"/>
        </w:rPr>
      </w:pPr>
      <w:r w:rsidRPr="009532B7">
        <w:rPr>
          <w:rFonts w:ascii="Tahoma" w:hAnsi="Tahoma" w:cs="Tahoma"/>
          <w:b/>
          <w:bCs/>
          <w:u w:val="single"/>
          <w:lang w:eastAsia="es-AR"/>
        </w:rPr>
        <w:t>VISTO</w:t>
      </w:r>
      <w:r w:rsidRPr="009532B7">
        <w:rPr>
          <w:rFonts w:ascii="Tahoma" w:hAnsi="Tahoma" w:cs="Tahoma"/>
          <w:b/>
          <w:bCs/>
          <w:lang w:eastAsia="es-AR"/>
        </w:rPr>
        <w:t>:</w:t>
      </w:r>
    </w:p>
    <w:p w14:paraId="05842561" w14:textId="62757B59" w:rsidR="009532B7" w:rsidRPr="009532B7" w:rsidRDefault="009532B7" w:rsidP="009532B7">
      <w:pPr>
        <w:shd w:val="clear" w:color="auto" w:fill="FFFFFF"/>
        <w:spacing w:line="360" w:lineRule="auto"/>
        <w:jc w:val="right"/>
        <w:rPr>
          <w:rFonts w:ascii="Tahoma" w:hAnsi="Tahoma" w:cs="Tahoma"/>
          <w:lang w:val="es-AR" w:eastAsia="es-AR"/>
        </w:rPr>
      </w:pPr>
      <w:r w:rsidRPr="009532B7">
        <w:rPr>
          <w:rFonts w:ascii="Tahoma" w:hAnsi="Tahoma" w:cs="Tahoma"/>
          <w:lang w:eastAsia="es-AR"/>
        </w:rPr>
        <w:t xml:space="preserve">      Que </w:t>
      </w:r>
      <w:r>
        <w:rPr>
          <w:rFonts w:ascii="Tahoma" w:hAnsi="Tahoma" w:cs="Tahoma"/>
          <w:lang w:eastAsia="es-AR"/>
        </w:rPr>
        <w:t>con fecha</w:t>
      </w:r>
      <w:r w:rsidRPr="009532B7">
        <w:rPr>
          <w:rFonts w:ascii="Tahoma" w:hAnsi="Tahoma" w:cs="Tahoma"/>
          <w:lang w:eastAsia="es-AR"/>
        </w:rPr>
        <w:t xml:space="preserve"> 12 de </w:t>
      </w:r>
      <w:proofErr w:type="gramStart"/>
      <w:r w:rsidRPr="009532B7">
        <w:rPr>
          <w:rFonts w:ascii="Tahoma" w:hAnsi="Tahoma" w:cs="Tahoma"/>
          <w:lang w:eastAsia="es-AR"/>
        </w:rPr>
        <w:t>Diciembre</w:t>
      </w:r>
      <w:proofErr w:type="gramEnd"/>
      <w:r w:rsidRPr="009532B7">
        <w:rPr>
          <w:rFonts w:ascii="Tahoma" w:hAnsi="Tahoma" w:cs="Tahoma"/>
          <w:lang w:eastAsia="es-AR"/>
        </w:rPr>
        <w:t xml:space="preserve"> 2024 se sancion</w:t>
      </w:r>
      <w:r>
        <w:rPr>
          <w:rFonts w:ascii="Tahoma" w:hAnsi="Tahoma" w:cs="Tahoma"/>
          <w:lang w:eastAsia="es-AR"/>
        </w:rPr>
        <w:t>ó</w:t>
      </w:r>
      <w:r w:rsidRPr="009532B7">
        <w:rPr>
          <w:rFonts w:ascii="Tahoma" w:hAnsi="Tahoma" w:cs="Tahoma"/>
          <w:lang w:eastAsia="es-AR"/>
        </w:rPr>
        <w:t xml:space="preserve"> la ordenanza 5865/2024;</w:t>
      </w:r>
    </w:p>
    <w:p w14:paraId="399AA732" w14:textId="77777777" w:rsidR="009532B7" w:rsidRPr="009532B7" w:rsidRDefault="009532B7" w:rsidP="009532B7">
      <w:pPr>
        <w:shd w:val="clear" w:color="auto" w:fill="FFFFFF"/>
        <w:spacing w:line="360" w:lineRule="auto"/>
        <w:jc w:val="both"/>
        <w:rPr>
          <w:rFonts w:ascii="Tahoma" w:hAnsi="Tahoma" w:cs="Tahoma"/>
          <w:lang w:val="es-AR" w:eastAsia="es-AR"/>
        </w:rPr>
      </w:pPr>
      <w:r w:rsidRPr="009532B7">
        <w:rPr>
          <w:rFonts w:ascii="Tahoma" w:hAnsi="Tahoma" w:cs="Tahoma"/>
          <w:lang w:eastAsia="es-AR"/>
        </w:rPr>
        <w:t> </w:t>
      </w:r>
    </w:p>
    <w:p w14:paraId="7D0D0266" w14:textId="77777777" w:rsidR="009532B7" w:rsidRDefault="009532B7" w:rsidP="009532B7">
      <w:pPr>
        <w:shd w:val="clear" w:color="auto" w:fill="FFFFFF"/>
        <w:spacing w:line="360" w:lineRule="auto"/>
        <w:jc w:val="both"/>
        <w:rPr>
          <w:rFonts w:ascii="Tahoma" w:hAnsi="Tahoma" w:cs="Tahoma"/>
          <w:b/>
          <w:bCs/>
          <w:lang w:eastAsia="es-AR"/>
        </w:rPr>
      </w:pPr>
      <w:r w:rsidRPr="009532B7">
        <w:rPr>
          <w:rFonts w:ascii="Tahoma" w:hAnsi="Tahoma" w:cs="Tahoma"/>
          <w:b/>
          <w:bCs/>
          <w:u w:val="single"/>
          <w:lang w:eastAsia="es-AR"/>
        </w:rPr>
        <w:t>CONSIDERANDO</w:t>
      </w:r>
      <w:r w:rsidRPr="009532B7">
        <w:rPr>
          <w:rFonts w:ascii="Tahoma" w:hAnsi="Tahoma" w:cs="Tahoma"/>
          <w:b/>
          <w:bCs/>
          <w:lang w:eastAsia="es-AR"/>
        </w:rPr>
        <w:t>:</w:t>
      </w:r>
    </w:p>
    <w:p w14:paraId="31EE89BD" w14:textId="77777777" w:rsidR="009532B7" w:rsidRPr="009532B7" w:rsidRDefault="009532B7" w:rsidP="009532B7">
      <w:pPr>
        <w:shd w:val="clear" w:color="auto" w:fill="FFFFFF"/>
        <w:spacing w:line="360" w:lineRule="auto"/>
        <w:jc w:val="both"/>
        <w:rPr>
          <w:rFonts w:ascii="Tahoma" w:hAnsi="Tahoma" w:cs="Tahoma"/>
          <w:lang w:val="es-AR" w:eastAsia="es-AR"/>
        </w:rPr>
      </w:pPr>
    </w:p>
    <w:p w14:paraId="77221011" w14:textId="0CFD83BA" w:rsidR="009532B7" w:rsidRPr="009532B7" w:rsidRDefault="009532B7" w:rsidP="009532B7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lang w:val="es-AR" w:eastAsia="es-AR"/>
        </w:rPr>
      </w:pPr>
      <w:r w:rsidRPr="009532B7">
        <w:rPr>
          <w:rFonts w:ascii="Tahoma" w:hAnsi="Tahoma" w:cs="Tahoma"/>
          <w:lang w:eastAsia="es-AR"/>
        </w:rPr>
        <w:t xml:space="preserve">Que dicha ordenanza </w:t>
      </w:r>
      <w:r>
        <w:rPr>
          <w:rFonts w:ascii="Tahoma" w:hAnsi="Tahoma" w:cs="Tahoma"/>
          <w:lang w:eastAsia="es-AR"/>
        </w:rPr>
        <w:t xml:space="preserve">tiene por objeto </w:t>
      </w:r>
      <w:r w:rsidRPr="009532B7">
        <w:rPr>
          <w:rFonts w:ascii="Tahoma" w:hAnsi="Tahoma" w:cs="Tahoma"/>
          <w:lang w:eastAsia="es-AR"/>
        </w:rPr>
        <w:t>mejorar la movilidad urbana en sectores del Barrio Fátima;</w:t>
      </w:r>
    </w:p>
    <w:p w14:paraId="70CF56AE" w14:textId="77777777" w:rsidR="009532B7" w:rsidRPr="009532B7" w:rsidRDefault="009532B7" w:rsidP="009532B7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lang w:val="es-AR" w:eastAsia="es-AR"/>
        </w:rPr>
      </w:pPr>
      <w:r w:rsidRPr="009532B7">
        <w:rPr>
          <w:rFonts w:ascii="Tahoma" w:hAnsi="Tahoma" w:cs="Tahoma"/>
          <w:lang w:val="es-AR" w:eastAsia="es-AR"/>
        </w:rPr>
        <w:t xml:space="preserve">Que este proyecto incluía la construcción de aproximadamente 2000 metros lineales de cordón cuneta, 210 m2 de badenes y 6 sumideros, que </w:t>
      </w:r>
      <w:r w:rsidRPr="009532B7">
        <w:rPr>
          <w:rFonts w:ascii="Tahoma" w:hAnsi="Tahoma" w:cs="Tahoma"/>
          <w:lang w:val="es-AR" w:eastAsia="es-AR"/>
        </w:rPr>
        <w:lastRenderedPageBreak/>
        <w:t>permitirán el libre escurrimiento de las aguas hacia el arroyo Los Toldos, evitando de esta manera la acumulación que se produce actualmente en algunas bocacalles. A su vez, quedarían saneados y rellenados la misma cantidad de metros lineales de zanjas.</w:t>
      </w:r>
    </w:p>
    <w:p w14:paraId="5D3D50D0" w14:textId="25AB9A44" w:rsidR="009532B7" w:rsidRPr="009532B7" w:rsidRDefault="009532B7" w:rsidP="009532B7">
      <w:pPr>
        <w:shd w:val="clear" w:color="auto" w:fill="FFFFFF"/>
        <w:spacing w:after="150" w:line="360" w:lineRule="auto"/>
        <w:ind w:firstLine="708"/>
        <w:jc w:val="both"/>
        <w:rPr>
          <w:rFonts w:ascii="Tahoma" w:hAnsi="Tahoma" w:cs="Tahoma"/>
          <w:lang w:val="es-AR" w:eastAsia="es-AR"/>
        </w:rPr>
      </w:pPr>
      <w:r w:rsidRPr="009532B7">
        <w:rPr>
          <w:rFonts w:ascii="Tahoma" w:hAnsi="Tahoma" w:cs="Tahoma"/>
          <w:lang w:val="es-AR" w:eastAsia="es-AR"/>
        </w:rPr>
        <w:t xml:space="preserve">Que, </w:t>
      </w:r>
      <w:r>
        <w:rPr>
          <w:rFonts w:ascii="Tahoma" w:hAnsi="Tahoma" w:cs="Tahoma"/>
          <w:lang w:val="es-AR" w:eastAsia="es-AR"/>
        </w:rPr>
        <w:t>atendiendo a</w:t>
      </w:r>
      <w:r w:rsidRPr="009532B7">
        <w:rPr>
          <w:rFonts w:ascii="Tahoma" w:hAnsi="Tahoma" w:cs="Tahoma"/>
          <w:lang w:val="es-AR" w:eastAsia="es-AR"/>
        </w:rPr>
        <w:t xml:space="preserve">l costo de la obra, se </w:t>
      </w:r>
      <w:r>
        <w:rPr>
          <w:rFonts w:ascii="Tahoma" w:hAnsi="Tahoma" w:cs="Tahoma"/>
          <w:lang w:val="es-AR" w:eastAsia="es-AR"/>
        </w:rPr>
        <w:t>dispuso</w:t>
      </w:r>
      <w:r w:rsidRPr="009532B7">
        <w:rPr>
          <w:rFonts w:ascii="Tahoma" w:hAnsi="Tahoma" w:cs="Tahoma"/>
          <w:lang w:val="es-AR" w:eastAsia="es-AR"/>
        </w:rPr>
        <w:t xml:space="preserve"> la venta en los términos del art55 de la LOM de dos inmuebles emplazados en este barrio, sobre la calle EEUU entre Mendiola y Olmos, cuya titularidad pertenece a la Municipalidad.  </w:t>
      </w:r>
    </w:p>
    <w:p w14:paraId="1452224B" w14:textId="77777777" w:rsidR="009532B7" w:rsidRPr="009532B7" w:rsidRDefault="009532B7" w:rsidP="009532B7">
      <w:pPr>
        <w:shd w:val="clear" w:color="auto" w:fill="FFFFFF"/>
        <w:spacing w:after="150" w:line="360" w:lineRule="auto"/>
        <w:ind w:firstLine="708"/>
        <w:jc w:val="both"/>
        <w:rPr>
          <w:rFonts w:ascii="Tahoma" w:hAnsi="Tahoma" w:cs="Tahoma"/>
          <w:lang w:val="es-AR" w:eastAsia="es-AR"/>
        </w:rPr>
      </w:pPr>
      <w:r w:rsidRPr="009532B7">
        <w:rPr>
          <w:rFonts w:ascii="Tahoma" w:hAnsi="Tahoma" w:cs="Tahoma"/>
          <w:lang w:val="es-AR" w:eastAsia="es-AR"/>
        </w:rPr>
        <w:t>Que se trata de dos terrenos baldíos identificados con los números de partida 25714 y 27715;</w:t>
      </w:r>
    </w:p>
    <w:p w14:paraId="2DFA4BD9" w14:textId="5EA61140" w:rsidR="009532B7" w:rsidRPr="009532B7" w:rsidRDefault="009532B7" w:rsidP="009532B7">
      <w:pPr>
        <w:shd w:val="clear" w:color="auto" w:fill="FFFFFF"/>
        <w:spacing w:after="150" w:line="360" w:lineRule="auto"/>
        <w:ind w:firstLine="708"/>
        <w:jc w:val="both"/>
        <w:rPr>
          <w:rFonts w:ascii="Tahoma" w:hAnsi="Tahoma" w:cs="Tahoma"/>
          <w:lang w:val="es-AR" w:eastAsia="es-AR"/>
        </w:rPr>
      </w:pPr>
      <w:r w:rsidRPr="009532B7">
        <w:rPr>
          <w:rFonts w:ascii="Tahoma" w:hAnsi="Tahoma" w:cs="Tahoma"/>
          <w:lang w:val="es-AR" w:eastAsia="es-AR"/>
        </w:rPr>
        <w:t xml:space="preserve">Que, de acuerdo </w:t>
      </w:r>
      <w:r>
        <w:rPr>
          <w:rFonts w:ascii="Tahoma" w:hAnsi="Tahoma" w:cs="Tahoma"/>
          <w:lang w:val="es-AR" w:eastAsia="es-AR"/>
        </w:rPr>
        <w:t xml:space="preserve">con la </w:t>
      </w:r>
      <w:r w:rsidRPr="009532B7">
        <w:rPr>
          <w:rFonts w:ascii="Tahoma" w:hAnsi="Tahoma" w:cs="Tahoma"/>
          <w:lang w:val="es-AR" w:eastAsia="es-AR"/>
        </w:rPr>
        <w:t xml:space="preserve">estimación </w:t>
      </w:r>
      <w:r>
        <w:rPr>
          <w:rFonts w:ascii="Tahoma" w:hAnsi="Tahoma" w:cs="Tahoma"/>
          <w:lang w:val="es-AR" w:eastAsia="es-AR"/>
        </w:rPr>
        <w:t>obrante</w:t>
      </w:r>
      <w:r w:rsidRPr="009532B7">
        <w:rPr>
          <w:rFonts w:ascii="Tahoma" w:hAnsi="Tahoma" w:cs="Tahoma"/>
          <w:lang w:val="es-AR" w:eastAsia="es-AR"/>
        </w:rPr>
        <w:t xml:space="preserve"> en el expediente administrativo remitido al HCD en base al mercado inmobiliario en dicha zona, estos lotes tendrían un valor que cubriría alrededor del 75% del total de la obra a ejecutar, pudiendo el valor de los mismos superar el valor de la obra. </w:t>
      </w:r>
    </w:p>
    <w:p w14:paraId="763C8AF0" w14:textId="26074610" w:rsidR="009532B7" w:rsidRPr="009532B7" w:rsidRDefault="009532B7" w:rsidP="009532B7">
      <w:pPr>
        <w:shd w:val="clear" w:color="auto" w:fill="FFFFFF"/>
        <w:spacing w:after="150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         </w:t>
      </w:r>
      <w:r w:rsidRPr="009532B7">
        <w:rPr>
          <w:rFonts w:ascii="Tahoma" w:hAnsi="Tahoma" w:cs="Tahoma"/>
          <w:lang w:val="es-AR" w:eastAsia="es-AR"/>
        </w:rPr>
        <w:t>Que los fondos resultantes de la venta de los inmuebles mencionados deberán destinarse a la obra “Mejoras en calles del barrio Fátima etapa I”. </w:t>
      </w:r>
    </w:p>
    <w:p w14:paraId="0BAB017E" w14:textId="643DA3E0" w:rsidR="009532B7" w:rsidRPr="009532B7" w:rsidRDefault="009532B7" w:rsidP="009532B7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lang w:val="es-AR" w:eastAsia="es-AR"/>
        </w:rPr>
      </w:pPr>
      <w:r w:rsidRPr="009532B7">
        <w:rPr>
          <w:rFonts w:ascii="Tahoma" w:hAnsi="Tahoma" w:cs="Tahoma"/>
          <w:lang w:eastAsia="es-AR"/>
        </w:rPr>
        <w:t>Que la publicidad de los actos de gobierno constituye uno de los principios esenciales del sistema republicano;</w:t>
      </w:r>
    </w:p>
    <w:p w14:paraId="3A64EC41" w14:textId="77777777" w:rsidR="009532B7" w:rsidRPr="009532B7" w:rsidRDefault="009532B7" w:rsidP="009532B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ahoma" w:hAnsi="Tahoma" w:cs="Tahoma"/>
          <w:color w:val="000000"/>
          <w:lang w:val="es-AR" w:eastAsia="es-AR"/>
        </w:rPr>
      </w:pPr>
      <w:r w:rsidRPr="009532B7">
        <w:rPr>
          <w:rFonts w:ascii="Tahoma" w:hAnsi="Tahoma" w:cs="Tahoma"/>
          <w:lang w:eastAsia="es-AR"/>
        </w:rPr>
        <w:t>Que la transparencia en la gestión pública fortalece la confianza de la ciudadanía en sus instituciones y permite un control social efectivo sobre los actos de gobierno.</w:t>
      </w:r>
    </w:p>
    <w:p w14:paraId="4CC85D44" w14:textId="77777777" w:rsidR="009532B7" w:rsidRPr="009532B7" w:rsidRDefault="009532B7" w:rsidP="009532B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ahoma" w:hAnsi="Tahoma" w:cs="Tahoma"/>
          <w:color w:val="000000"/>
          <w:lang w:val="es-AR" w:eastAsia="es-AR"/>
        </w:rPr>
      </w:pPr>
      <w:r w:rsidRPr="009532B7">
        <w:rPr>
          <w:rFonts w:ascii="Tahoma" w:hAnsi="Tahoma" w:cs="Tahoma"/>
          <w:lang w:eastAsia="es-AR"/>
        </w:rPr>
        <w:t>Que es deber del Municipio facilitar a los ciudadanos el acceso a la información pública en forma clara, veraz y oportuna.</w:t>
      </w:r>
    </w:p>
    <w:p w14:paraId="3DAEE9DF" w14:textId="77777777" w:rsidR="009532B7" w:rsidRPr="009532B7" w:rsidRDefault="009532B7" w:rsidP="009532B7">
      <w:pPr>
        <w:shd w:val="clear" w:color="auto" w:fill="FFFFFF"/>
        <w:spacing w:line="360" w:lineRule="auto"/>
        <w:jc w:val="both"/>
        <w:rPr>
          <w:rFonts w:ascii="Tahoma" w:hAnsi="Tahoma" w:cs="Tahoma"/>
          <w:lang w:val="es-AR" w:eastAsia="es-AR"/>
        </w:rPr>
      </w:pPr>
      <w:r w:rsidRPr="009532B7">
        <w:rPr>
          <w:rFonts w:ascii="Tahoma" w:hAnsi="Tahoma" w:cs="Tahoma"/>
          <w:lang w:eastAsia="es-AR"/>
        </w:rPr>
        <w:t>         Que, de acuerdo a Ley Orgánica de las Municipalidades, corresponde que el cuerpo solicite tal medida a través de una Resolución, en los términos del artículo 77 del citado cuerpo legal;</w:t>
      </w:r>
    </w:p>
    <w:p w14:paraId="7A4EE6A0" w14:textId="77777777" w:rsidR="009532B7" w:rsidRPr="009532B7" w:rsidRDefault="009532B7" w:rsidP="009532B7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lang w:val="es-AR" w:eastAsia="es-AR"/>
        </w:rPr>
      </w:pPr>
      <w:r w:rsidRPr="009532B7">
        <w:rPr>
          <w:rFonts w:ascii="Tahoma" w:hAnsi="Tahoma" w:cs="Tahoma"/>
          <w:lang w:eastAsia="es-AR"/>
        </w:rPr>
        <w:lastRenderedPageBreak/>
        <w:t>                                Por ello, </w:t>
      </w:r>
      <w:r w:rsidRPr="009532B7">
        <w:rPr>
          <w:rFonts w:ascii="Tahoma" w:hAnsi="Tahoma" w:cs="Tahoma"/>
          <w:b/>
          <w:bCs/>
          <w:lang w:eastAsia="es-AR"/>
        </w:rPr>
        <w:t>el Bloque CAMBIEMOS </w:t>
      </w:r>
      <w:r w:rsidRPr="009532B7">
        <w:rPr>
          <w:rFonts w:ascii="Tahoma" w:hAnsi="Tahoma" w:cs="Tahoma"/>
          <w:lang w:eastAsia="es-AR"/>
        </w:rPr>
        <w:t>en atribución a sus facultades que le confiere la Ley Orgánica de las Municipalidades, propone lo siguiente:</w:t>
      </w:r>
    </w:p>
    <w:p w14:paraId="3FF2876E" w14:textId="77777777" w:rsidR="009532B7" w:rsidRPr="009532B7" w:rsidRDefault="009532B7" w:rsidP="009532B7">
      <w:pPr>
        <w:shd w:val="clear" w:color="auto" w:fill="FFFFFF"/>
        <w:spacing w:line="360" w:lineRule="auto"/>
        <w:ind w:firstLine="708"/>
        <w:jc w:val="center"/>
        <w:rPr>
          <w:rFonts w:ascii="Tahoma" w:hAnsi="Tahoma" w:cs="Tahoma"/>
          <w:lang w:val="es-AR" w:eastAsia="es-AR"/>
        </w:rPr>
      </w:pPr>
      <w:r w:rsidRPr="009532B7">
        <w:rPr>
          <w:rFonts w:ascii="Tahoma" w:hAnsi="Tahoma" w:cs="Tahoma"/>
          <w:lang w:eastAsia="es-AR"/>
        </w:rPr>
        <w:t> </w:t>
      </w:r>
    </w:p>
    <w:p w14:paraId="564251D0" w14:textId="77777777" w:rsidR="009532B7" w:rsidRDefault="009532B7" w:rsidP="009532B7">
      <w:pPr>
        <w:shd w:val="clear" w:color="auto" w:fill="FFFFFF"/>
        <w:spacing w:line="360" w:lineRule="auto"/>
        <w:jc w:val="center"/>
        <w:rPr>
          <w:rFonts w:ascii="Tahoma" w:hAnsi="Tahoma" w:cs="Tahoma"/>
          <w:b/>
          <w:bCs/>
          <w:lang w:eastAsia="es-AR"/>
        </w:rPr>
      </w:pPr>
      <w:r w:rsidRPr="009532B7">
        <w:rPr>
          <w:rFonts w:ascii="Tahoma" w:hAnsi="Tahoma" w:cs="Tahoma"/>
          <w:b/>
          <w:bCs/>
          <w:lang w:eastAsia="es-AR"/>
        </w:rPr>
        <w:t>PROYECTO DE COMUNICACION:</w:t>
      </w:r>
    </w:p>
    <w:p w14:paraId="34171521" w14:textId="77777777" w:rsidR="009532B7" w:rsidRPr="009532B7" w:rsidRDefault="009532B7" w:rsidP="009532B7">
      <w:pPr>
        <w:shd w:val="clear" w:color="auto" w:fill="FFFFFF"/>
        <w:spacing w:line="360" w:lineRule="auto"/>
        <w:jc w:val="center"/>
        <w:rPr>
          <w:rFonts w:ascii="Tahoma" w:hAnsi="Tahoma" w:cs="Tahoma"/>
          <w:lang w:val="es-AR" w:eastAsia="es-AR"/>
        </w:rPr>
      </w:pPr>
    </w:p>
    <w:p w14:paraId="49498402" w14:textId="77777777" w:rsidR="009532B7" w:rsidRDefault="009532B7" w:rsidP="009532B7">
      <w:pPr>
        <w:shd w:val="clear" w:color="auto" w:fill="FFFFFF"/>
        <w:spacing w:line="360" w:lineRule="auto"/>
        <w:jc w:val="both"/>
        <w:rPr>
          <w:rFonts w:ascii="Tahoma" w:hAnsi="Tahoma" w:cs="Tahoma"/>
          <w:lang w:eastAsia="es-AR"/>
        </w:rPr>
      </w:pPr>
      <w:r w:rsidRPr="009532B7">
        <w:rPr>
          <w:rFonts w:ascii="Tahoma" w:hAnsi="Tahoma" w:cs="Tahoma"/>
          <w:b/>
          <w:bCs/>
          <w:u w:val="single"/>
          <w:lang w:eastAsia="es-AR"/>
        </w:rPr>
        <w:t>Artículo 1:</w:t>
      </w:r>
      <w:r w:rsidRPr="009532B7">
        <w:rPr>
          <w:rFonts w:ascii="Tahoma" w:hAnsi="Tahoma" w:cs="Tahoma"/>
          <w:lang w:eastAsia="es-AR"/>
        </w:rPr>
        <w:t> Solicítese al Departamento Ejecutivo en los términos de ordenanza 5865/2024, venta de dos inmuebles municipales cuyos fondos deben destinarse a la obra “Mejoras en calles del Barrio Fátima Etapa I informe:</w:t>
      </w:r>
    </w:p>
    <w:p w14:paraId="26459EAA" w14:textId="77777777" w:rsidR="009532B7" w:rsidRPr="009532B7" w:rsidRDefault="009532B7" w:rsidP="009532B7">
      <w:pPr>
        <w:shd w:val="clear" w:color="auto" w:fill="FFFFFF"/>
        <w:spacing w:line="360" w:lineRule="auto"/>
        <w:jc w:val="both"/>
        <w:rPr>
          <w:rFonts w:ascii="Tahoma" w:hAnsi="Tahoma" w:cs="Tahoma"/>
          <w:lang w:val="es-AR" w:eastAsia="es-AR"/>
        </w:rPr>
      </w:pPr>
    </w:p>
    <w:p w14:paraId="245A2CB3" w14:textId="77777777" w:rsidR="009532B7" w:rsidRPr="009532B7" w:rsidRDefault="009532B7" w:rsidP="009532B7">
      <w:pPr>
        <w:shd w:val="clear" w:color="auto" w:fill="FFFFFF"/>
        <w:spacing w:line="360" w:lineRule="auto"/>
        <w:ind w:left="720"/>
        <w:jc w:val="both"/>
        <w:rPr>
          <w:rFonts w:ascii="Tahoma" w:hAnsi="Tahoma" w:cs="Tahoma"/>
          <w:lang w:val="es-AR" w:eastAsia="es-AR"/>
        </w:rPr>
      </w:pPr>
      <w:r w:rsidRPr="009532B7">
        <w:rPr>
          <w:rFonts w:ascii="Tahoma" w:hAnsi="Tahoma" w:cs="Tahoma"/>
          <w:lang w:eastAsia="es-AR"/>
        </w:rPr>
        <w:t>a)       apertura de registro de oposición y existencia o no de impugnaciones, observaciones y/o descargos en relación al trámite propuesto para la venta de los inmuebles identificados con los números de partida 25714 y 25715.</w:t>
      </w:r>
    </w:p>
    <w:p w14:paraId="32719F0D" w14:textId="77777777" w:rsidR="009532B7" w:rsidRPr="009532B7" w:rsidRDefault="009532B7" w:rsidP="009532B7">
      <w:pPr>
        <w:shd w:val="clear" w:color="auto" w:fill="FFFFFF"/>
        <w:spacing w:line="360" w:lineRule="auto"/>
        <w:ind w:left="720"/>
        <w:jc w:val="both"/>
        <w:rPr>
          <w:rFonts w:ascii="Tahoma" w:hAnsi="Tahoma" w:cs="Tahoma"/>
          <w:lang w:val="es-AR" w:eastAsia="es-AR"/>
        </w:rPr>
      </w:pPr>
      <w:r w:rsidRPr="009532B7">
        <w:rPr>
          <w:rFonts w:ascii="Tahoma" w:hAnsi="Tahoma" w:cs="Tahoma"/>
          <w:lang w:eastAsia="es-AR"/>
        </w:rPr>
        <w:t>b)      estado de la venta de los inmuebles identificados con los números de partida 25714 y 25715 en los términos del art. 55 de la LOM.</w:t>
      </w:r>
    </w:p>
    <w:p w14:paraId="4BEF8F43" w14:textId="77777777" w:rsidR="009532B7" w:rsidRPr="009532B7" w:rsidRDefault="009532B7" w:rsidP="009532B7">
      <w:pPr>
        <w:shd w:val="clear" w:color="auto" w:fill="FFFFFF"/>
        <w:spacing w:line="360" w:lineRule="auto"/>
        <w:ind w:left="720"/>
        <w:jc w:val="both"/>
        <w:rPr>
          <w:rFonts w:ascii="Tahoma" w:hAnsi="Tahoma" w:cs="Tahoma"/>
          <w:lang w:val="es-AR" w:eastAsia="es-AR"/>
        </w:rPr>
      </w:pPr>
      <w:r w:rsidRPr="009532B7">
        <w:rPr>
          <w:rFonts w:ascii="Tahoma" w:hAnsi="Tahoma" w:cs="Tahoma"/>
          <w:lang w:eastAsia="es-AR"/>
        </w:rPr>
        <w:t>c)       tasaciones realizadas por la Comisión conformada al efecto y/o del Banco de la Provincia de Buenos Aires u otras instituciones bancarias en los términos del art. 26 del decreto 9533/80.-</w:t>
      </w:r>
    </w:p>
    <w:p w14:paraId="4057D980" w14:textId="6A1B64DA" w:rsidR="009532B7" w:rsidRPr="009532B7" w:rsidRDefault="009532B7" w:rsidP="009532B7">
      <w:pPr>
        <w:shd w:val="clear" w:color="auto" w:fill="FFFFFF"/>
        <w:spacing w:line="360" w:lineRule="auto"/>
        <w:ind w:left="720"/>
        <w:jc w:val="both"/>
        <w:rPr>
          <w:rFonts w:ascii="Tahoma" w:hAnsi="Tahoma" w:cs="Tahoma"/>
          <w:lang w:val="es-AR" w:eastAsia="es-AR"/>
        </w:rPr>
      </w:pPr>
      <w:r w:rsidRPr="009532B7">
        <w:rPr>
          <w:rFonts w:ascii="Tahoma" w:hAnsi="Tahoma" w:cs="Tahoma"/>
          <w:lang w:eastAsia="es-AR"/>
        </w:rPr>
        <w:t xml:space="preserve">d)      monto de oferta de compra para la venta autorizada en el Artículo 1º de </w:t>
      </w:r>
      <w:r>
        <w:rPr>
          <w:rFonts w:ascii="Tahoma" w:hAnsi="Tahoma" w:cs="Tahoma"/>
          <w:lang w:eastAsia="es-AR"/>
        </w:rPr>
        <w:t>la ordenanza nº 5865/2024</w:t>
      </w:r>
      <w:r w:rsidRPr="009532B7">
        <w:rPr>
          <w:rFonts w:ascii="Tahoma" w:hAnsi="Tahoma" w:cs="Tahoma"/>
          <w:lang w:eastAsia="es-AR"/>
        </w:rPr>
        <w:t>.</w:t>
      </w:r>
    </w:p>
    <w:p w14:paraId="053FED61" w14:textId="77777777" w:rsidR="009532B7" w:rsidRDefault="009532B7" w:rsidP="009532B7">
      <w:pPr>
        <w:shd w:val="clear" w:color="auto" w:fill="FFFFFF"/>
        <w:spacing w:line="360" w:lineRule="auto"/>
        <w:ind w:left="720"/>
        <w:jc w:val="both"/>
        <w:rPr>
          <w:rFonts w:ascii="Tahoma" w:hAnsi="Tahoma" w:cs="Tahoma"/>
          <w:lang w:eastAsia="es-AR"/>
        </w:rPr>
      </w:pPr>
      <w:r w:rsidRPr="009532B7">
        <w:rPr>
          <w:rFonts w:ascii="Tahoma" w:hAnsi="Tahoma" w:cs="Tahoma"/>
          <w:lang w:eastAsia="es-AR"/>
        </w:rPr>
        <w:t>e)       producida la venta remita rendición de afectación de fondos resultantes de la misma a la obra “Mejoras en calles del barrio Fátima – Etapa I</w:t>
      </w:r>
      <w:proofErr w:type="gramStart"/>
      <w:r w:rsidRPr="009532B7">
        <w:rPr>
          <w:rFonts w:ascii="Tahoma" w:hAnsi="Tahoma" w:cs="Tahoma"/>
          <w:lang w:eastAsia="es-AR"/>
        </w:rPr>
        <w:t>”.-</w:t>
      </w:r>
      <w:proofErr w:type="gramEnd"/>
    </w:p>
    <w:p w14:paraId="3347B5DE" w14:textId="77777777" w:rsidR="009532B7" w:rsidRPr="009532B7" w:rsidRDefault="009532B7" w:rsidP="009532B7">
      <w:pPr>
        <w:shd w:val="clear" w:color="auto" w:fill="FFFFFF"/>
        <w:spacing w:line="360" w:lineRule="auto"/>
        <w:ind w:left="720"/>
        <w:jc w:val="both"/>
        <w:rPr>
          <w:rFonts w:ascii="Tahoma" w:hAnsi="Tahoma" w:cs="Tahoma"/>
          <w:lang w:val="es-AR" w:eastAsia="es-AR"/>
        </w:rPr>
      </w:pPr>
    </w:p>
    <w:p w14:paraId="0082489B" w14:textId="77777777" w:rsidR="009532B7" w:rsidRPr="009532B7" w:rsidRDefault="009532B7" w:rsidP="009532B7">
      <w:pPr>
        <w:shd w:val="clear" w:color="auto" w:fill="FFFFFF"/>
        <w:spacing w:line="360" w:lineRule="auto"/>
        <w:jc w:val="both"/>
        <w:rPr>
          <w:rFonts w:ascii="Tahoma" w:hAnsi="Tahoma" w:cs="Tahoma"/>
          <w:lang w:val="es-AR" w:eastAsia="es-AR"/>
        </w:rPr>
      </w:pPr>
      <w:r w:rsidRPr="009532B7">
        <w:rPr>
          <w:rFonts w:ascii="Tahoma" w:hAnsi="Tahoma" w:cs="Tahoma"/>
          <w:b/>
          <w:bCs/>
          <w:u w:val="single"/>
          <w:lang w:eastAsia="es-AR"/>
        </w:rPr>
        <w:t>Artículo 2:</w:t>
      </w:r>
      <w:r w:rsidRPr="009532B7">
        <w:rPr>
          <w:rFonts w:ascii="Tahoma" w:hAnsi="Tahoma" w:cs="Tahoma"/>
          <w:lang w:eastAsia="es-AR"/>
        </w:rPr>
        <w:t> De Forma.</w:t>
      </w:r>
    </w:p>
    <w:p w14:paraId="36064639" w14:textId="2CCDC1F6" w:rsidR="002B6F7A" w:rsidRPr="009532B7" w:rsidRDefault="002B6F7A" w:rsidP="009532B7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sectPr w:rsidR="002B6F7A" w:rsidRPr="009532B7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E50B2" w14:textId="77777777" w:rsidR="008A58DF" w:rsidRDefault="008A58DF">
      <w:r>
        <w:separator/>
      </w:r>
    </w:p>
  </w:endnote>
  <w:endnote w:type="continuationSeparator" w:id="0">
    <w:p w14:paraId="6FD4814D" w14:textId="77777777" w:rsidR="008A58DF" w:rsidRDefault="008A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75926214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705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5EF59" w14:textId="77777777" w:rsidR="008A58DF" w:rsidRDefault="008A58DF">
      <w:r>
        <w:separator/>
      </w:r>
    </w:p>
  </w:footnote>
  <w:footnote w:type="continuationSeparator" w:id="0">
    <w:p w14:paraId="008711BB" w14:textId="77777777" w:rsidR="008A58DF" w:rsidRDefault="008A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07D5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6CB5"/>
    <w:rsid w:val="0022070D"/>
    <w:rsid w:val="002234D4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188"/>
    <w:rsid w:val="0028528E"/>
    <w:rsid w:val="0028705A"/>
    <w:rsid w:val="002A3687"/>
    <w:rsid w:val="002B6C93"/>
    <w:rsid w:val="002B6F7A"/>
    <w:rsid w:val="002C35EB"/>
    <w:rsid w:val="002C3F2F"/>
    <w:rsid w:val="002C5D54"/>
    <w:rsid w:val="002D03B0"/>
    <w:rsid w:val="002D0EA4"/>
    <w:rsid w:val="002D4EF4"/>
    <w:rsid w:val="002E24CB"/>
    <w:rsid w:val="002E380F"/>
    <w:rsid w:val="002F1FC6"/>
    <w:rsid w:val="002F5E73"/>
    <w:rsid w:val="003151F0"/>
    <w:rsid w:val="00340D7E"/>
    <w:rsid w:val="003609D8"/>
    <w:rsid w:val="003755B0"/>
    <w:rsid w:val="00376EA5"/>
    <w:rsid w:val="00385409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1167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0D40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5BFF"/>
    <w:rsid w:val="00576A8B"/>
    <w:rsid w:val="00582FE9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254EE"/>
    <w:rsid w:val="0063270E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96BA3"/>
    <w:rsid w:val="006A1CBA"/>
    <w:rsid w:val="006A7B7A"/>
    <w:rsid w:val="006C3E2F"/>
    <w:rsid w:val="006D0238"/>
    <w:rsid w:val="006D0527"/>
    <w:rsid w:val="006D61D1"/>
    <w:rsid w:val="006D719E"/>
    <w:rsid w:val="006E3A32"/>
    <w:rsid w:val="006E3B4B"/>
    <w:rsid w:val="006E4081"/>
    <w:rsid w:val="006F6700"/>
    <w:rsid w:val="006F6916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875B9"/>
    <w:rsid w:val="008905FB"/>
    <w:rsid w:val="008A58DF"/>
    <w:rsid w:val="008B3695"/>
    <w:rsid w:val="008B59EB"/>
    <w:rsid w:val="008C64DB"/>
    <w:rsid w:val="008E0265"/>
    <w:rsid w:val="008E15F8"/>
    <w:rsid w:val="008E42C5"/>
    <w:rsid w:val="008E71C1"/>
    <w:rsid w:val="008F0810"/>
    <w:rsid w:val="008F4DF2"/>
    <w:rsid w:val="008F5EB5"/>
    <w:rsid w:val="008F65AB"/>
    <w:rsid w:val="008F700F"/>
    <w:rsid w:val="00905241"/>
    <w:rsid w:val="00914F71"/>
    <w:rsid w:val="009242DB"/>
    <w:rsid w:val="009338B3"/>
    <w:rsid w:val="00934836"/>
    <w:rsid w:val="009370ED"/>
    <w:rsid w:val="009372F3"/>
    <w:rsid w:val="00951E51"/>
    <w:rsid w:val="009532B7"/>
    <w:rsid w:val="00954256"/>
    <w:rsid w:val="009653FC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639BA"/>
    <w:rsid w:val="00A81B4E"/>
    <w:rsid w:val="00A85DB5"/>
    <w:rsid w:val="00AA1E9B"/>
    <w:rsid w:val="00AA363F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1D26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91CA1"/>
    <w:rsid w:val="00DA6610"/>
    <w:rsid w:val="00DA719D"/>
    <w:rsid w:val="00DA72D1"/>
    <w:rsid w:val="00DB3ED5"/>
    <w:rsid w:val="00DB5C56"/>
    <w:rsid w:val="00DC2CA3"/>
    <w:rsid w:val="00DC3080"/>
    <w:rsid w:val="00DC7403"/>
    <w:rsid w:val="00DD78D7"/>
    <w:rsid w:val="00DE4974"/>
    <w:rsid w:val="00DF0BA6"/>
    <w:rsid w:val="00DF7241"/>
    <w:rsid w:val="00E0137D"/>
    <w:rsid w:val="00E05C6D"/>
    <w:rsid w:val="00E22D69"/>
    <w:rsid w:val="00E22EFA"/>
    <w:rsid w:val="00E230B0"/>
    <w:rsid w:val="00E451B8"/>
    <w:rsid w:val="00E51BA5"/>
    <w:rsid w:val="00E5284B"/>
    <w:rsid w:val="00E53F86"/>
    <w:rsid w:val="00E55A76"/>
    <w:rsid w:val="00E73C89"/>
    <w:rsid w:val="00E749BC"/>
    <w:rsid w:val="00E75EEB"/>
    <w:rsid w:val="00E853A8"/>
    <w:rsid w:val="00E86C3F"/>
    <w:rsid w:val="00E97767"/>
    <w:rsid w:val="00EA1C33"/>
    <w:rsid w:val="00EB4D57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42C2A"/>
    <w:rsid w:val="00F454F9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A2BA7"/>
    <w:rsid w:val="00FA3D0F"/>
    <w:rsid w:val="00FB0B6D"/>
    <w:rsid w:val="00FB668A"/>
    <w:rsid w:val="00FC10CE"/>
    <w:rsid w:val="00FC1D45"/>
    <w:rsid w:val="00FD1263"/>
    <w:rsid w:val="00FD2215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61274-14B9-4F17-B88E-0BA4B828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2025-03-25T16:02:00Z</cp:lastPrinted>
  <dcterms:created xsi:type="dcterms:W3CDTF">2025-10-07T18:07:00Z</dcterms:created>
  <dcterms:modified xsi:type="dcterms:W3CDTF">2025-10-07T18:07:00Z</dcterms:modified>
</cp:coreProperties>
</file>